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48DFE64D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48DFE64D">
        <w:rPr>
          <w:rFonts w:ascii="Work Sans" w:hAnsi="Work Sans"/>
          <w:lang w:val="es-ES"/>
        </w:rPr>
        <w:t xml:space="preserve">Asunto: </w:t>
      </w:r>
      <w:r>
        <w:tab/>
      </w:r>
      <w:r w:rsidRPr="48DFE64D">
        <w:rPr>
          <w:rFonts w:ascii="Work Sans" w:hAnsi="Work Sans"/>
          <w:lang w:val="es-ES"/>
        </w:rPr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275EA6E0" w14:textId="237C424A" w:rsidR="00DA16B2" w:rsidRDefault="000769FD" w:rsidP="0016001B">
      <w:pPr>
        <w:pStyle w:val="Textoindependiente"/>
        <w:ind w:left="993" w:right="40" w:hanging="993"/>
        <w:jc w:val="left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>Estimados señores Compañía Energética de Occidente</w:t>
      </w:r>
      <w:r w:rsidR="007E7B4A">
        <w:rPr>
          <w:rFonts w:ascii="Work Sans" w:hAnsi="Work Sans"/>
          <w:szCs w:val="24"/>
        </w:rPr>
        <w:t>,</w:t>
      </w:r>
    </w:p>
    <w:p w14:paraId="753496E5" w14:textId="77777777" w:rsidR="00DA16B2" w:rsidRDefault="00DA16B2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14:paraId="5AE0B4EA" w14:textId="77777777" w:rsidR="009216F6" w:rsidRDefault="009216F6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  <w:r>
        <w:rPr>
          <w:rFonts w:ascii="Work Sans" w:hAnsi="Work Sans" w:cs="Arial"/>
          <w:sz w:val="24"/>
          <w:szCs w:val="24"/>
        </w:rPr>
        <w:t xml:space="preserve">El pasado 6 de mayo de 2026, el Ministerio de Minas y Energía, recibió documento con radicado No. </w:t>
      </w:r>
      <w:r w:rsidRPr="00B92B58">
        <w:rPr>
          <w:rFonts w:ascii="Work Sans" w:hAnsi="Work Sans" w:cs="Arial"/>
          <w:sz w:val="24"/>
          <w:szCs w:val="24"/>
        </w:rPr>
        <w:t>1-2026-021245</w:t>
      </w:r>
      <w:r>
        <w:rPr>
          <w:rFonts w:ascii="Work Sans" w:hAnsi="Work Sans" w:cs="Arial"/>
          <w:sz w:val="24"/>
          <w:szCs w:val="24"/>
        </w:rPr>
        <w:t>, cuyo asunto es</w:t>
      </w:r>
      <w:r>
        <w:rPr>
          <w:rFonts w:ascii="Work Sans" w:hAnsi="Work Sans" w:cs="Arial"/>
          <w:sz w:val="24"/>
          <w:lang w:val="es-ES_tradnl"/>
        </w:rPr>
        <w:t xml:space="preserve"> “S</w:t>
      </w:r>
      <w:r w:rsidRPr="007B0085">
        <w:rPr>
          <w:rFonts w:ascii="Work Sans" w:hAnsi="Work Sans" w:cs="Arial"/>
          <w:i/>
          <w:iCs/>
          <w:sz w:val="24"/>
          <w:lang w:val="es-ES_tradnl"/>
        </w:rPr>
        <w:t xml:space="preserve">olicitud de ajustes tarifarios, regulatorios o normativos para asegurar la prestación del servicio de energía eléctrica en el departamento del </w:t>
      </w:r>
      <w:r>
        <w:rPr>
          <w:rFonts w:ascii="Work Sans" w:hAnsi="Work Sans" w:cs="Arial"/>
          <w:i/>
          <w:iCs/>
          <w:sz w:val="24"/>
          <w:lang w:val="es-ES_tradnl"/>
        </w:rPr>
        <w:t>C</w:t>
      </w:r>
      <w:r w:rsidRPr="007B0085">
        <w:rPr>
          <w:rFonts w:ascii="Work Sans" w:hAnsi="Work Sans" w:cs="Arial"/>
          <w:i/>
          <w:iCs/>
          <w:sz w:val="24"/>
          <w:lang w:val="es-ES_tradnl"/>
        </w:rPr>
        <w:t>auca</w:t>
      </w:r>
      <w:r w:rsidRPr="00CD752E">
        <w:rPr>
          <w:rFonts w:ascii="Work Sans" w:hAnsi="Work Sans" w:cs="Arial"/>
          <w:sz w:val="24"/>
          <w:lang w:val="es-ES_tradnl"/>
        </w:rPr>
        <w:t>”</w:t>
      </w:r>
      <w:r>
        <w:rPr>
          <w:rFonts w:ascii="Work Sans" w:hAnsi="Work Sans" w:cs="Arial"/>
          <w:sz w:val="24"/>
          <w:lang w:val="es-ES_tradnl"/>
        </w:rPr>
        <w:t xml:space="preserve">. </w:t>
      </w:r>
    </w:p>
    <w:p w14:paraId="7989525E" w14:textId="77777777" w:rsidR="009216F6" w:rsidRDefault="009216F6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lang w:val="es-ES_tradnl"/>
        </w:rPr>
      </w:pPr>
    </w:p>
    <w:p w14:paraId="2429C66D" w14:textId="195C5CC0" w:rsidR="009216F6" w:rsidRDefault="009216F6" w:rsidP="009216F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6752F7">
        <w:rPr>
          <w:rFonts w:ascii="Work Sans" w:hAnsi="Work Sans" w:cs="Arial"/>
          <w:sz w:val="24"/>
        </w:rPr>
        <w:t>En dich</w:t>
      </w:r>
      <w:r w:rsidR="00D45274">
        <w:rPr>
          <w:rFonts w:ascii="Work Sans" w:hAnsi="Work Sans" w:cs="Arial"/>
          <w:sz w:val="24"/>
        </w:rPr>
        <w:t>a comunicación</w:t>
      </w:r>
      <w:r w:rsidRPr="006752F7">
        <w:rPr>
          <w:rFonts w:ascii="Work Sans" w:hAnsi="Work Sans" w:cs="Arial"/>
          <w:sz w:val="24"/>
        </w:rPr>
        <w:t xml:space="preserve"> se presentan consideraciones relacionadas con el proyecto de Resolución CREG 701 038 de 2024</w:t>
      </w:r>
      <w:r w:rsidRPr="006752F7">
        <w:rPr>
          <w:rFonts w:ascii="Work Sans" w:hAnsi="Work Sans" w:cs="Arial"/>
          <w:sz w:val="24"/>
          <w:lang w:val="es-ES_tradnl"/>
        </w:rPr>
        <w:t xml:space="preserve"> </w:t>
      </w:r>
      <w:r>
        <w:rPr>
          <w:rFonts w:ascii="Work Sans" w:hAnsi="Work Sans" w:cs="Arial"/>
          <w:sz w:val="24"/>
          <w:lang w:val="es-ES_tradnl"/>
        </w:rPr>
        <w:t>“</w:t>
      </w:r>
      <w:r w:rsidRPr="007B0085">
        <w:rPr>
          <w:rFonts w:ascii="Work Sans" w:hAnsi="Work Sans" w:cs="Arial"/>
          <w:i/>
          <w:iCs/>
          <w:sz w:val="24"/>
          <w:lang w:val="es-ES_tradnl"/>
        </w:rPr>
        <w:t>Por la cual se establecen los criterios generales para determinar la remuneración de la actividad de comercialización de energía eléctrica a usuarios regulados en el Sistema Interconectado Nacional</w:t>
      </w:r>
      <w:r>
        <w:rPr>
          <w:rFonts w:ascii="Work Sans" w:hAnsi="Work Sans" w:cs="Arial"/>
          <w:sz w:val="24"/>
          <w:lang w:val="es-ES_tradnl"/>
        </w:rPr>
        <w:t>”</w:t>
      </w:r>
      <w:r w:rsidR="003D1793">
        <w:rPr>
          <w:rFonts w:ascii="Work Sans" w:hAnsi="Work Sans" w:cs="Arial"/>
          <w:sz w:val="24"/>
          <w:lang w:val="es-ES_tradnl"/>
        </w:rPr>
        <w:t>,</w:t>
      </w:r>
      <w:r>
        <w:rPr>
          <w:rFonts w:ascii="Work Sans" w:hAnsi="Work Sans" w:cs="Arial"/>
          <w:sz w:val="24"/>
          <w:lang w:val="es-ES_tradnl"/>
        </w:rPr>
        <w:t xml:space="preserve"> </w:t>
      </w:r>
      <w:r w:rsidRPr="006752F7">
        <w:rPr>
          <w:rFonts w:ascii="Work Sans" w:hAnsi="Work Sans" w:cs="Arial"/>
          <w:sz w:val="24"/>
        </w:rPr>
        <w:t>así como con las medidas que posteriormente dieron origen al Decreto 0526 del 22 de mayo de 2026,</w:t>
      </w:r>
      <w:r w:rsidRPr="006752F7">
        <w:rPr>
          <w:rFonts w:ascii="Work Sans" w:hAnsi="Work Sans" w:cs="Arial"/>
          <w:sz w:val="24"/>
          <w:lang w:val="es-ES_tradnl"/>
        </w:rPr>
        <w:t xml:space="preserve"> </w:t>
      </w:r>
      <w:r>
        <w:rPr>
          <w:rFonts w:ascii="Work Sans" w:hAnsi="Work Sans" w:cs="Arial"/>
          <w:sz w:val="24"/>
          <w:lang w:val="es-ES_tradnl"/>
        </w:rPr>
        <w:t>“</w:t>
      </w:r>
      <w:r w:rsidRPr="007B0085">
        <w:rPr>
          <w:rFonts w:ascii="Work Sans" w:hAnsi="Work Sans"/>
          <w:i/>
          <w:iCs/>
          <w:sz w:val="24"/>
          <w:lang w:val="es-ES_tradnl"/>
        </w:rPr>
        <w:t xml:space="preserve">Por medio del cual se </w:t>
      </w:r>
      <w:bookmarkStart w:id="0" w:name="_Hlk198189133"/>
      <w:r w:rsidRPr="007B0085">
        <w:rPr>
          <w:rFonts w:ascii="Work Sans" w:hAnsi="Work Sans"/>
          <w:i/>
          <w:iCs/>
          <w:sz w:val="24"/>
          <w:lang w:val="es-ES_tradnl"/>
        </w:rPr>
        <w:t>modifica y adiciona el Decreto 1073 de 2015, Único Reglamentario del Sector Administrativo de Minas y Energía en relación con el Fondo de Energía Social (FOES), y se dictan otras disposiciones</w:t>
      </w:r>
      <w:bookmarkEnd w:id="0"/>
      <w:r>
        <w:rPr>
          <w:rFonts w:ascii="Work Sans" w:hAnsi="Work Sans" w:cs="Arial"/>
          <w:i/>
          <w:iCs/>
          <w:sz w:val="24"/>
          <w:lang w:val="es-ES_tradnl"/>
        </w:rPr>
        <w:t>”</w:t>
      </w:r>
      <w:r w:rsidRPr="00E76061">
        <w:rPr>
          <w:rFonts w:ascii="Work Sans" w:hAnsi="Work Sans" w:cs="Arial"/>
          <w:sz w:val="24"/>
          <w:szCs w:val="24"/>
        </w:rPr>
        <w:t>.</w:t>
      </w:r>
    </w:p>
    <w:p w14:paraId="7EA47365" w14:textId="77777777" w:rsidR="0016001B" w:rsidRDefault="0016001B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B25D5FB" w14:textId="0EA9D6AD" w:rsidR="009216F6" w:rsidRDefault="00D45274" w:rsidP="00D4527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Al respecto,  es pertinente señalar que, de conformidad con lo dispuesto en los artículos 68,</w:t>
      </w:r>
      <w:r w:rsidR="009216F6">
        <w:rPr>
          <w:rFonts w:ascii="Work Sans" w:hAnsi="Work Sans" w:cs="Arial"/>
          <w:sz w:val="24"/>
        </w:rPr>
        <w:t xml:space="preserve"> 69</w:t>
      </w:r>
      <w:r>
        <w:rPr>
          <w:rFonts w:ascii="Work Sans" w:hAnsi="Work Sans" w:cs="Arial"/>
          <w:sz w:val="24"/>
        </w:rPr>
        <w:t>, 73 y 74</w:t>
      </w:r>
      <w:r w:rsidR="009216F6">
        <w:rPr>
          <w:rFonts w:ascii="Work Sans" w:hAnsi="Work Sans" w:cs="Arial"/>
          <w:sz w:val="24"/>
        </w:rPr>
        <w:t xml:space="preserve"> de la Ley 142 de 1994</w:t>
      </w:r>
      <w:r>
        <w:rPr>
          <w:rFonts w:ascii="Work Sans" w:hAnsi="Work Sans" w:cs="Arial"/>
          <w:sz w:val="24"/>
        </w:rPr>
        <w:t xml:space="preserve">, así como en los artículos 22 y 23 de la Ley 143 de 1994, corresponde a la </w:t>
      </w:r>
      <w:r w:rsidRPr="009B1490">
        <w:rPr>
          <w:rFonts w:ascii="Work Sans" w:hAnsi="Work Sans" w:cs="Arial"/>
          <w:sz w:val="24"/>
        </w:rPr>
        <w:t>Comisión de Regulación de Energía y Gas</w:t>
      </w:r>
      <w:r>
        <w:rPr>
          <w:rFonts w:ascii="Work Sans" w:hAnsi="Work Sans" w:cs="Arial"/>
          <w:sz w:val="24"/>
        </w:rPr>
        <w:t xml:space="preserve"> (CREG), </w:t>
      </w:r>
      <w:r w:rsidR="009216F6">
        <w:rPr>
          <w:rFonts w:ascii="Work Sans" w:hAnsi="Work Sans" w:cs="Arial"/>
          <w:sz w:val="24"/>
        </w:rPr>
        <w:t xml:space="preserve"> </w:t>
      </w:r>
      <w:r w:rsidRPr="00D45274">
        <w:rPr>
          <w:rFonts w:ascii="Work Sans" w:hAnsi="Work Sans" w:cs="Arial"/>
          <w:sz w:val="24"/>
        </w:rPr>
        <w:t>ejercer la función regulatoria en los sectores de energía eléctrica y gas combustible, incluyendo la definición de metodologías tarifarias y de remuneración de las actividades que integran la cadena de prestación del servicio público de energía eléctrica.</w:t>
      </w:r>
    </w:p>
    <w:p w14:paraId="74A17571" w14:textId="75978E54" w:rsidR="009B1490" w:rsidRDefault="009B1490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lastRenderedPageBreak/>
        <w:t xml:space="preserve">En ese sentido, las </w:t>
      </w:r>
      <w:r w:rsidR="00D45274">
        <w:rPr>
          <w:rFonts w:ascii="Work Sans" w:hAnsi="Work Sans" w:cs="Arial"/>
          <w:sz w:val="24"/>
        </w:rPr>
        <w:t xml:space="preserve">siguientes </w:t>
      </w:r>
      <w:r>
        <w:rPr>
          <w:rFonts w:ascii="Work Sans" w:hAnsi="Work Sans" w:cs="Arial"/>
          <w:sz w:val="24"/>
        </w:rPr>
        <w:t xml:space="preserve">solicitudes </w:t>
      </w:r>
      <w:r w:rsidR="00D45274">
        <w:rPr>
          <w:rFonts w:ascii="Work Sans" w:hAnsi="Work Sans" w:cs="Arial"/>
          <w:sz w:val="24"/>
        </w:rPr>
        <w:t>formuladas en su comunicación fueron trasladada</w:t>
      </w:r>
      <w:r w:rsidR="00C1417E">
        <w:rPr>
          <w:rFonts w:ascii="Work Sans" w:hAnsi="Work Sans" w:cs="Arial"/>
          <w:sz w:val="24"/>
        </w:rPr>
        <w:t>s</w:t>
      </w:r>
      <w:r w:rsidR="00D45274">
        <w:rPr>
          <w:rFonts w:ascii="Work Sans" w:hAnsi="Work Sans" w:cs="Arial"/>
          <w:sz w:val="24"/>
        </w:rPr>
        <w:t xml:space="preserve"> a la </w:t>
      </w:r>
      <w:r>
        <w:rPr>
          <w:rFonts w:ascii="Work Sans" w:hAnsi="Work Sans" w:cs="Arial"/>
          <w:sz w:val="24"/>
        </w:rPr>
        <w:t>CREG mediante radicado No</w:t>
      </w:r>
      <w:r w:rsidR="008F7F9B">
        <w:rPr>
          <w:rFonts w:ascii="Work Sans" w:hAnsi="Work Sans" w:cs="Arial"/>
          <w:sz w:val="24"/>
        </w:rPr>
        <w:t>.</w:t>
      </w:r>
      <w:r>
        <w:rPr>
          <w:rFonts w:ascii="Work Sans" w:hAnsi="Work Sans" w:cs="Arial"/>
          <w:sz w:val="24"/>
        </w:rPr>
        <w:t xml:space="preserve"> 2-2026-</w:t>
      </w:r>
      <w:r w:rsidR="00F413C6" w:rsidRPr="00F413C6">
        <w:rPr>
          <w:rFonts w:ascii="Work Sans" w:hAnsi="Work Sans" w:cs="Arial"/>
          <w:sz w:val="24"/>
        </w:rPr>
        <w:t>026393</w:t>
      </w:r>
      <w:r>
        <w:rPr>
          <w:rFonts w:ascii="Work Sans" w:hAnsi="Work Sans" w:cs="Arial"/>
          <w:sz w:val="24"/>
        </w:rPr>
        <w:t xml:space="preserve">, </w:t>
      </w:r>
      <w:r w:rsidR="00D45274">
        <w:rPr>
          <w:rFonts w:ascii="Work Sans" w:hAnsi="Work Sans" w:cs="Arial"/>
          <w:sz w:val="24"/>
        </w:rPr>
        <w:t xml:space="preserve">para lo </w:t>
      </w:r>
      <w:r>
        <w:rPr>
          <w:rFonts w:ascii="Work Sans" w:hAnsi="Work Sans" w:cs="Arial"/>
          <w:sz w:val="24"/>
        </w:rPr>
        <w:t>de su competencia</w:t>
      </w:r>
    </w:p>
    <w:p w14:paraId="66158260" w14:textId="77777777" w:rsidR="009B1490" w:rsidRDefault="009B1490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7BBAE1A3" w14:textId="54A3E2A4" w:rsidR="00D45274" w:rsidRDefault="00D45274" w:rsidP="0016001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ab/>
      </w:r>
      <w:r>
        <w:rPr>
          <w:rFonts w:ascii="Work Sans" w:hAnsi="Work Sans" w:cs="Arial"/>
          <w:sz w:val="24"/>
        </w:rPr>
        <w:tab/>
        <w:t>“(…)</w:t>
      </w:r>
    </w:p>
    <w:p w14:paraId="32535D7A" w14:textId="77777777" w:rsidR="009B1490" w:rsidRDefault="009B1490" w:rsidP="009B1490">
      <w:pPr>
        <w:pStyle w:val="Prrafodelista"/>
        <w:numPr>
          <w:ilvl w:val="0"/>
          <w:numId w:val="19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>
        <w:rPr>
          <w:rFonts w:ascii="Work Sans" w:hAnsi="Work Sans" w:cs="Arial"/>
          <w:i/>
          <w:iCs/>
        </w:rPr>
        <w:t>Incorporar en la metodología de remuneración de la actividad de comercialización de energía para usuarios regulados la información actualizada de costos y gastos (IRC) del periodo 2019-2023.</w:t>
      </w:r>
    </w:p>
    <w:p w14:paraId="4335E816" w14:textId="77777777" w:rsidR="009B1490" w:rsidRDefault="009B1490" w:rsidP="009B1490">
      <w:pPr>
        <w:pStyle w:val="Prrafodelista"/>
        <w:numPr>
          <w:ilvl w:val="0"/>
          <w:numId w:val="19"/>
        </w:numPr>
        <w:spacing w:line="240" w:lineRule="auto"/>
        <w:ind w:right="51"/>
        <w:jc w:val="both"/>
        <w:rPr>
          <w:rFonts w:ascii="Work Sans" w:hAnsi="Work Sans" w:cs="Arial"/>
          <w:i/>
          <w:iCs/>
        </w:rPr>
      </w:pPr>
      <w:r>
        <w:rPr>
          <w:rFonts w:ascii="Work Sans" w:hAnsi="Work Sans" w:cs="Arial"/>
          <w:i/>
          <w:iCs/>
        </w:rPr>
        <w:t>Diseñar una metodología de comercialización diferenciada que reconozca capacidad de pago, cartera, ruralidad, áreas especiales y los costos reales de operación en mercados complejos. (…)”</w:t>
      </w:r>
    </w:p>
    <w:p w14:paraId="1A3579D5" w14:textId="61FC4775" w:rsidR="00D45274" w:rsidRDefault="00D45274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D45274">
        <w:rPr>
          <w:rFonts w:ascii="Work Sans" w:hAnsi="Work Sans" w:cs="Arial"/>
          <w:sz w:val="24"/>
        </w:rPr>
        <w:t xml:space="preserve">Lo anterior, por cuanto dichas solicitudes se encuentran directamente relacionadas con el diseño y definición de metodologías regulatorias aplicables a la actividad de comercialización de energía eléctrica, materias </w:t>
      </w:r>
      <w:r w:rsidR="00413EDA" w:rsidRPr="00413EDA">
        <w:rPr>
          <w:rFonts w:ascii="Work Sans" w:hAnsi="Work Sans" w:cs="Arial"/>
          <w:sz w:val="24"/>
        </w:rPr>
        <w:t>cuya regulación corresponde a la CREG en el marco de las competencias atribuidas por la ley</w:t>
      </w:r>
      <w:r w:rsidRPr="00D45274">
        <w:rPr>
          <w:rFonts w:ascii="Work Sans" w:hAnsi="Work Sans" w:cs="Arial"/>
          <w:sz w:val="24"/>
        </w:rPr>
        <w:t>.</w:t>
      </w:r>
    </w:p>
    <w:p w14:paraId="73105D39" w14:textId="77777777" w:rsidR="00D45274" w:rsidRDefault="00D45274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0886B17A" w14:textId="1473EF7D" w:rsidR="009B1490" w:rsidRDefault="00E33EE9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E33EE9">
        <w:rPr>
          <w:rFonts w:ascii="Work Sans" w:hAnsi="Work Sans" w:cs="Arial"/>
          <w:sz w:val="24"/>
        </w:rPr>
        <w:t>De igual forma, la solicitud relacionada con la evaluación</w:t>
      </w:r>
      <w:r>
        <w:rPr>
          <w:rFonts w:ascii="Work Sans" w:hAnsi="Work Sans" w:cs="Arial"/>
          <w:sz w:val="24"/>
        </w:rPr>
        <w:t xml:space="preserve"> de </w:t>
      </w:r>
      <w:r w:rsidR="009B1490" w:rsidRPr="009B1490">
        <w:rPr>
          <w:rFonts w:ascii="Work Sans" w:hAnsi="Work Sans" w:cs="Arial"/>
          <w:sz w:val="24"/>
        </w:rPr>
        <w:t>mecanismos regulatorios y extraordinarios que reconozcan las condiciones de operación en territorios con afectación grave de orden público</w:t>
      </w:r>
      <w:r>
        <w:rPr>
          <w:rFonts w:ascii="Work Sans" w:hAnsi="Work Sans" w:cs="Arial"/>
          <w:sz w:val="24"/>
        </w:rPr>
        <w:t xml:space="preserve">, así como </w:t>
      </w:r>
      <w:r w:rsidR="00B92B44">
        <w:rPr>
          <w:rFonts w:ascii="Work Sans" w:hAnsi="Work Sans" w:cs="Arial"/>
          <w:sz w:val="24"/>
        </w:rPr>
        <w:t xml:space="preserve">el </w:t>
      </w:r>
      <w:r w:rsidR="009B1490">
        <w:rPr>
          <w:rFonts w:ascii="Work Sans" w:hAnsi="Work Sans" w:cs="Arial"/>
          <w:sz w:val="24"/>
        </w:rPr>
        <w:t>análisis de</w:t>
      </w:r>
      <w:r w:rsidR="009B1490" w:rsidRPr="009B1490">
        <w:rPr>
          <w:rFonts w:ascii="Work Sans" w:hAnsi="Work Sans" w:cs="Arial"/>
          <w:sz w:val="24"/>
        </w:rPr>
        <w:t xml:space="preserve"> la viabilidad de establecer un régimen especial o excepcional de prestación del servicio</w:t>
      </w:r>
      <w:r w:rsidR="00B92B44">
        <w:rPr>
          <w:rFonts w:ascii="Work Sans" w:hAnsi="Work Sans" w:cs="Arial"/>
          <w:sz w:val="24"/>
        </w:rPr>
        <w:t xml:space="preserve"> </w:t>
      </w:r>
      <w:r>
        <w:rPr>
          <w:rFonts w:ascii="Work Sans" w:hAnsi="Work Sans" w:cs="Arial"/>
          <w:sz w:val="24"/>
        </w:rPr>
        <w:t>en el mercado atendido por esa empresa</w:t>
      </w:r>
      <w:r w:rsidR="00B92B44">
        <w:rPr>
          <w:rFonts w:ascii="Work Sans" w:hAnsi="Work Sans" w:cs="Arial"/>
          <w:sz w:val="24"/>
        </w:rPr>
        <w:t>, fue remitid</w:t>
      </w:r>
      <w:r>
        <w:rPr>
          <w:rFonts w:ascii="Work Sans" w:hAnsi="Work Sans" w:cs="Arial"/>
          <w:sz w:val="24"/>
        </w:rPr>
        <w:t>a</w:t>
      </w:r>
      <w:r w:rsidR="00B92B44">
        <w:rPr>
          <w:rFonts w:ascii="Work Sans" w:hAnsi="Work Sans" w:cs="Arial"/>
          <w:sz w:val="24"/>
        </w:rPr>
        <w:t xml:space="preserve"> a la Oficina de Asuntos regulatorios y Empresariales</w:t>
      </w:r>
      <w:r>
        <w:rPr>
          <w:rFonts w:ascii="Work Sans" w:hAnsi="Work Sans" w:cs="Arial"/>
          <w:sz w:val="24"/>
        </w:rPr>
        <w:t xml:space="preserve">, como </w:t>
      </w:r>
      <w:r w:rsidRPr="00E33EE9">
        <w:rPr>
          <w:rFonts w:ascii="Work Sans" w:hAnsi="Work Sans" w:cs="Arial"/>
          <w:sz w:val="24"/>
        </w:rPr>
        <w:t>dependencia competente de este Ministerio</w:t>
      </w:r>
      <w:r w:rsidR="00B92B44">
        <w:rPr>
          <w:rFonts w:ascii="Work Sans" w:hAnsi="Work Sans" w:cs="Arial"/>
          <w:sz w:val="24"/>
        </w:rPr>
        <w:t xml:space="preserve"> mediante memorando interno No 3-2026-</w:t>
      </w:r>
      <w:r w:rsidR="00F413C6" w:rsidRPr="00F413C6">
        <w:rPr>
          <w:rFonts w:ascii="Work Sans" w:hAnsi="Work Sans" w:cs="Arial"/>
          <w:sz w:val="24"/>
        </w:rPr>
        <w:t>032109</w:t>
      </w:r>
      <w:r>
        <w:rPr>
          <w:rFonts w:ascii="Work Sans" w:hAnsi="Work Sans" w:cs="Arial"/>
          <w:sz w:val="24"/>
        </w:rPr>
        <w:t xml:space="preserve">, </w:t>
      </w:r>
      <w:r w:rsidR="007E78E5">
        <w:rPr>
          <w:rFonts w:ascii="Work Sans" w:hAnsi="Work Sans" w:cs="Arial"/>
          <w:sz w:val="24"/>
        </w:rPr>
        <w:t xml:space="preserve">para </w:t>
      </w:r>
      <w:r w:rsidRPr="00E33EE9">
        <w:rPr>
          <w:rFonts w:ascii="Work Sans" w:hAnsi="Work Sans" w:cs="Arial"/>
          <w:sz w:val="24"/>
        </w:rPr>
        <w:t>el análisis correspondiente en el marco de sus</w:t>
      </w:r>
      <w:r w:rsidR="002B387F">
        <w:rPr>
          <w:rFonts w:ascii="Work Sans" w:hAnsi="Work Sans" w:cs="Arial"/>
          <w:sz w:val="24"/>
        </w:rPr>
        <w:t xml:space="preserve"> competencias</w:t>
      </w:r>
      <w:r w:rsidRPr="00E33EE9">
        <w:rPr>
          <w:rFonts w:ascii="Work Sans" w:hAnsi="Work Sans" w:cs="Arial"/>
          <w:sz w:val="24"/>
        </w:rPr>
        <w:t>.</w:t>
      </w:r>
    </w:p>
    <w:p w14:paraId="40845339" w14:textId="77777777" w:rsidR="00B92B44" w:rsidRDefault="00B92B44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272E7FB" w14:textId="06AED8A2" w:rsidR="00B92B44" w:rsidRDefault="00B92B44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Finalmente, en relación con la siguiente solicitud</w:t>
      </w:r>
      <w:r w:rsidR="00841938">
        <w:rPr>
          <w:rFonts w:ascii="Work Sans" w:hAnsi="Work Sans" w:cs="Arial"/>
          <w:sz w:val="24"/>
        </w:rPr>
        <w:t>:</w:t>
      </w:r>
    </w:p>
    <w:p w14:paraId="797C7AA5" w14:textId="77777777" w:rsidR="006E35F3" w:rsidRDefault="006E35F3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41CBADE" w14:textId="05A03D8F" w:rsidR="00E33EE9" w:rsidRDefault="00E33EE9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ab/>
        <w:t>“(…)</w:t>
      </w:r>
    </w:p>
    <w:p w14:paraId="61CEA690" w14:textId="235413CE" w:rsidR="006E35F3" w:rsidRPr="006E35F3" w:rsidRDefault="006E35F3" w:rsidP="006E35F3">
      <w:pPr>
        <w:pStyle w:val="Prrafodelista"/>
        <w:numPr>
          <w:ilvl w:val="0"/>
          <w:numId w:val="20"/>
        </w:numPr>
        <w:spacing w:line="240" w:lineRule="auto"/>
        <w:ind w:right="51"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i/>
          <w:iCs/>
        </w:rPr>
        <w:t>Mantener los esquemas diferenciales del Decreto 1073 de 2015 en todos los tipos de áreas (Áreas Rurales de Menor Desarrollo, Zonas de Difícil Gestión y Barrios Subnormales), para evitar un cambio tarifario que pondría en riesgo la sostenibilidad de las empresas que operan en mercados complejos (Afinia, Air-e, Celsia Tolima y CEO)</w:t>
      </w:r>
      <w:r w:rsidR="00E33EE9">
        <w:rPr>
          <w:rFonts w:ascii="Work Sans" w:hAnsi="Work Sans" w:cs="Arial"/>
          <w:i/>
          <w:iCs/>
        </w:rPr>
        <w:t>”</w:t>
      </w:r>
    </w:p>
    <w:p w14:paraId="1CB257DB" w14:textId="3AFA6C7E" w:rsidR="004F6BF2" w:rsidRDefault="00E33EE9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>
        <w:rPr>
          <w:rFonts w:ascii="Work Sans" w:hAnsi="Work Sans" w:cs="Arial"/>
          <w:sz w:val="24"/>
        </w:rPr>
        <w:t xml:space="preserve">Este Ministerio se permite señalar </w:t>
      </w:r>
      <w:r w:rsidR="004F6BF2">
        <w:rPr>
          <w:rFonts w:ascii="Work Sans" w:hAnsi="Work Sans" w:cs="Arial"/>
          <w:sz w:val="24"/>
        </w:rPr>
        <w:t xml:space="preserve">que el Decreto 0526 </w:t>
      </w:r>
      <w:r w:rsidR="004F6BF2" w:rsidRPr="006752F7">
        <w:rPr>
          <w:rFonts w:ascii="Work Sans" w:hAnsi="Work Sans" w:cs="Arial"/>
          <w:sz w:val="24"/>
        </w:rPr>
        <w:t>del 22 de mayo de 2026,</w:t>
      </w:r>
      <w:r w:rsidR="004F6BF2" w:rsidRPr="006752F7">
        <w:rPr>
          <w:rFonts w:ascii="Work Sans" w:hAnsi="Work Sans" w:cs="Arial"/>
          <w:sz w:val="24"/>
          <w:lang w:val="es-ES_tradnl"/>
        </w:rPr>
        <w:t xml:space="preserve"> </w:t>
      </w:r>
      <w:r w:rsidR="004F6BF2">
        <w:rPr>
          <w:rFonts w:ascii="Work Sans" w:hAnsi="Work Sans" w:cs="Arial"/>
          <w:sz w:val="24"/>
          <w:lang w:val="es-ES_tradnl"/>
        </w:rPr>
        <w:t>“</w:t>
      </w:r>
      <w:r w:rsidR="004F6BF2" w:rsidRPr="007B0085">
        <w:rPr>
          <w:rFonts w:ascii="Work Sans" w:hAnsi="Work Sans"/>
          <w:i/>
          <w:iCs/>
          <w:sz w:val="24"/>
          <w:lang w:val="es-ES_tradnl"/>
        </w:rPr>
        <w:t xml:space="preserve">Por medio del cual se modifica y adiciona el Decreto 1073 de 2015, Único Reglamentario del Sector Administrativo de Minas y Energía en relación con el </w:t>
      </w:r>
      <w:r w:rsidR="004F6BF2" w:rsidRPr="007B0085">
        <w:rPr>
          <w:rFonts w:ascii="Work Sans" w:hAnsi="Work Sans"/>
          <w:i/>
          <w:iCs/>
          <w:sz w:val="24"/>
          <w:lang w:val="es-ES_tradnl"/>
        </w:rPr>
        <w:lastRenderedPageBreak/>
        <w:t>Fondo de Energía Social (FOES), y se dictan otras disposiciones</w:t>
      </w:r>
      <w:r w:rsidR="004F6BF2">
        <w:rPr>
          <w:rFonts w:ascii="Work Sans" w:hAnsi="Work Sans" w:cs="Arial"/>
          <w:i/>
          <w:iCs/>
          <w:sz w:val="24"/>
          <w:lang w:val="es-ES_tradnl"/>
        </w:rPr>
        <w:t>”</w:t>
      </w:r>
      <w:r w:rsidR="004F6BF2">
        <w:rPr>
          <w:rFonts w:ascii="Work Sans" w:hAnsi="Work Sans" w:cs="Arial"/>
          <w:sz w:val="24"/>
          <w:szCs w:val="24"/>
        </w:rPr>
        <w:t>, no elimin</w:t>
      </w:r>
      <w:r>
        <w:rPr>
          <w:rFonts w:ascii="Work Sans" w:hAnsi="Work Sans" w:cs="Arial"/>
          <w:sz w:val="24"/>
          <w:szCs w:val="24"/>
        </w:rPr>
        <w:t>ó</w:t>
      </w:r>
      <w:r w:rsidR="004F6BF2">
        <w:rPr>
          <w:rFonts w:ascii="Work Sans" w:hAnsi="Work Sans" w:cs="Arial"/>
          <w:sz w:val="24"/>
          <w:szCs w:val="24"/>
        </w:rPr>
        <w:t xml:space="preserve"> los esquemas diferenciales de prestación del servicio</w:t>
      </w:r>
      <w:r>
        <w:rPr>
          <w:rFonts w:ascii="Work Sans" w:hAnsi="Work Sans" w:cs="Arial"/>
          <w:sz w:val="24"/>
          <w:szCs w:val="24"/>
        </w:rPr>
        <w:t xml:space="preserve"> previstos </w:t>
      </w:r>
      <w:r w:rsidR="004F6BF2">
        <w:rPr>
          <w:rFonts w:ascii="Work Sans" w:hAnsi="Work Sans" w:cs="Arial"/>
          <w:sz w:val="24"/>
          <w:szCs w:val="24"/>
        </w:rPr>
        <w:t>en las áreas especiales</w:t>
      </w:r>
      <w:r>
        <w:rPr>
          <w:rFonts w:ascii="Work Sans" w:hAnsi="Work Sans" w:cs="Arial"/>
          <w:sz w:val="24"/>
          <w:szCs w:val="24"/>
        </w:rPr>
        <w:t>.</w:t>
      </w:r>
      <w:r w:rsidR="004F6BF2">
        <w:rPr>
          <w:rFonts w:ascii="Work Sans" w:hAnsi="Work Sans" w:cs="Arial"/>
          <w:sz w:val="24"/>
          <w:szCs w:val="24"/>
        </w:rPr>
        <w:t xml:space="preserve"> </w:t>
      </w:r>
      <w:r w:rsidRPr="00E33EE9">
        <w:rPr>
          <w:rFonts w:ascii="Work Sans" w:hAnsi="Work Sans" w:cs="Arial"/>
          <w:sz w:val="24"/>
          <w:szCs w:val="24"/>
        </w:rPr>
        <w:t xml:space="preserve">Por el contrario, la modificación normativa mantuvo los mecanismos diferenciales </w:t>
      </w:r>
      <w:r w:rsidR="00EB4A9B">
        <w:rPr>
          <w:rFonts w:ascii="Work Sans" w:hAnsi="Work Sans" w:cs="Arial"/>
          <w:sz w:val="24"/>
          <w:szCs w:val="24"/>
        </w:rPr>
        <w:t>previstos en el Decreto 1073 de 2015</w:t>
      </w:r>
      <w:r w:rsidR="00EB4A9B" w:rsidRPr="00E33EE9">
        <w:rPr>
          <w:rFonts w:ascii="Work Sans" w:hAnsi="Work Sans" w:cs="Arial"/>
          <w:sz w:val="24"/>
          <w:szCs w:val="24"/>
        </w:rPr>
        <w:t xml:space="preserve"> </w:t>
      </w:r>
      <w:r w:rsidRPr="00E33EE9">
        <w:rPr>
          <w:rFonts w:ascii="Work Sans" w:hAnsi="Work Sans" w:cs="Arial"/>
          <w:sz w:val="24"/>
          <w:szCs w:val="24"/>
        </w:rPr>
        <w:t>y realizó ajustes específicos a la figura del Suscriptor Comunitario, con el propósito de armonizar su aplicación</w:t>
      </w:r>
      <w:r w:rsidR="00C4477F">
        <w:rPr>
          <w:rFonts w:ascii="Work Sans" w:hAnsi="Work Sans" w:cs="Arial"/>
          <w:sz w:val="24"/>
          <w:szCs w:val="24"/>
        </w:rPr>
        <w:t xml:space="preserve"> en</w:t>
      </w:r>
      <w:r w:rsidRPr="00E33EE9">
        <w:rPr>
          <w:rFonts w:ascii="Work Sans" w:hAnsi="Work Sans" w:cs="Arial"/>
          <w:sz w:val="24"/>
          <w:szCs w:val="24"/>
        </w:rPr>
        <w:t xml:space="preserve"> el marco legal vigente y focalizar su utilización en aquellos escenarios en los que, </w:t>
      </w:r>
      <w:r w:rsidR="007C2C5F" w:rsidRPr="007C2C5F">
        <w:rPr>
          <w:rFonts w:ascii="Work Sans" w:hAnsi="Work Sans" w:cs="Arial"/>
          <w:sz w:val="24"/>
          <w:szCs w:val="24"/>
        </w:rPr>
        <w:t xml:space="preserve">de acuerdo con las condiciones técnicas, operativas o de infraestructura existentes, no resulte viable la implementación de </w:t>
      </w:r>
      <w:r w:rsidRPr="00E33EE9">
        <w:rPr>
          <w:rFonts w:ascii="Work Sans" w:hAnsi="Work Sans" w:cs="Arial"/>
          <w:sz w:val="24"/>
          <w:szCs w:val="24"/>
        </w:rPr>
        <w:t>esquemas de medición individual</w:t>
      </w:r>
      <w:r w:rsidR="00822F59">
        <w:rPr>
          <w:rFonts w:ascii="Work Sans" w:hAnsi="Work Sans" w:cs="Arial"/>
          <w:sz w:val="24"/>
          <w:szCs w:val="24"/>
        </w:rPr>
        <w:t xml:space="preserve">. </w:t>
      </w:r>
    </w:p>
    <w:p w14:paraId="67BD4CA0" w14:textId="77777777" w:rsidR="00E33EE9" w:rsidRDefault="00E33EE9" w:rsidP="009B1490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4CCD2B7" w14:textId="77777777" w:rsidR="00E33EE9" w:rsidRDefault="00E33EE9" w:rsidP="00E33EE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E33EE9">
        <w:rPr>
          <w:rFonts w:ascii="Work Sans" w:hAnsi="Work Sans" w:cs="Arial"/>
          <w:sz w:val="24"/>
          <w:szCs w:val="24"/>
        </w:rPr>
        <w:t>Al respecto, durante la etapa de consulta pública del proyecto normativo, el Ministerio analizó las observaciones presentadas por distintos agentes del sector y concluyó que la medición individual constituye la regla general para la prestación del servicio público domiciliario de energía eléctrica, de conformidad con lo establecido en los artículos 9 y 146 de la Ley 142 de 1994, los cuales reconocen el derecho de los usuarios a que sus consumos reales sean medidos mediante instrumentos técnicamente apropiados y disponen que el consumo efectivamente registrado debe constituir el elemento principal para la determinación del valor facturado.</w:t>
      </w:r>
    </w:p>
    <w:p w14:paraId="6CCE1BF5" w14:textId="77777777" w:rsidR="00E33EE9" w:rsidRPr="00E33EE9" w:rsidRDefault="00E33EE9" w:rsidP="00E33EE9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3A95B8E6" w14:textId="77777777" w:rsidR="009842EC" w:rsidRDefault="009842EC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9842EC">
        <w:rPr>
          <w:rFonts w:ascii="Work Sans" w:hAnsi="Work Sans" w:cs="Arial"/>
          <w:sz w:val="24"/>
          <w:szCs w:val="24"/>
        </w:rPr>
        <w:t>Por lo anterior, el ajuste introducido por el Decreto 0526 de 2026 no obedece a una eliminación de tratamientos diferenciales para las Áreas Especiales, sino a la necesidad de garantizar la adecuada aplicación de los principios de medición individual, focalización de subsidios y destinación eficiente de los recursos públicos, en concordancia con las disposiciones de la Ley 142 de 1994 y con los pronunciamientos emitidos por las entidades competentes en materia de inspección, vigilancia y control.</w:t>
      </w:r>
    </w:p>
    <w:p w14:paraId="2F82752F" w14:textId="77777777" w:rsidR="009842EC" w:rsidRPr="009842EC" w:rsidRDefault="009842EC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1CE31A8F" w14:textId="3AD64C10" w:rsidR="009842EC" w:rsidRPr="009842EC" w:rsidRDefault="009842EC" w:rsidP="5D0B3A7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D0B3A75">
        <w:rPr>
          <w:rFonts w:ascii="Work Sans" w:hAnsi="Work Sans" w:cs="Arial"/>
          <w:sz w:val="24"/>
          <w:szCs w:val="24"/>
        </w:rPr>
        <w:t>Finalmente, este Ministerio continuará realizando el seguimiento a la implementación de las medidas adoptadas mediante el Decreto 0526 de 2026 y agradece los comentarios y observaciones presentados en el marco de la construcción de la política pública sectorial.</w:t>
      </w:r>
    </w:p>
    <w:p w14:paraId="21BED4B4" w14:textId="4F3B03BF" w:rsidR="5D0B3A75" w:rsidRDefault="5D0B3A75" w:rsidP="5D0B3A75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F7EB2F8" w14:textId="77777777" w:rsidR="009842EC" w:rsidRPr="009842EC" w:rsidRDefault="009842EC" w:rsidP="009842EC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009842EC">
        <w:rPr>
          <w:rFonts w:ascii="Work Sans" w:hAnsi="Work Sans" w:cs="Arial"/>
          <w:sz w:val="24"/>
          <w:szCs w:val="24"/>
        </w:rPr>
        <w:t xml:space="preserve">Así mismo, extendemos una cordial invitación a la jornada de socialización del Decreto 0526 de 2026 que se llevará a cabo en las instalaciones del Ministerio de Minas y Energía el próximo 10 de julio de 2026, en horario que será informado oportunamente, espacio en el que podrán resolverse inquietudes relacionadas </w:t>
      </w:r>
      <w:r w:rsidRPr="009842EC">
        <w:rPr>
          <w:rFonts w:ascii="Work Sans" w:hAnsi="Work Sans" w:cs="Arial"/>
          <w:sz w:val="24"/>
          <w:szCs w:val="24"/>
        </w:rPr>
        <w:lastRenderedPageBreak/>
        <w:t>con el alcance e implementación de las modificaciones introducidas al Decreto 1073 de 2015.</w:t>
      </w:r>
    </w:p>
    <w:p w14:paraId="68D8857F" w14:textId="77777777" w:rsidR="00D45274" w:rsidRDefault="00D45274" w:rsidP="00DA16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CE7BE3F" w14:textId="77777777" w:rsidR="00D45274" w:rsidRDefault="00D45274" w:rsidP="00DA16B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A6DE598" w14:textId="5586513F" w:rsidR="00DA16B2" w:rsidRDefault="00DA16B2" w:rsidP="00DA16B2">
      <w:pPr>
        <w:spacing w:line="240" w:lineRule="auto"/>
        <w:ind w:right="51"/>
        <w:contextualSpacing/>
        <w:jc w:val="both"/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0D9DAC1B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copias_r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1930762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Revisó:res_reviso</w:t>
      </w:r>
      <w:r>
        <w:rPr>
          <w:rFonts w:ascii="Work Sans" w:hAnsi="Work Sans"/>
          <w:sz w:val="16"/>
          <w:szCs w:val="16"/>
        </w:rPr>
        <w:br/>
        <w:t>Aprobó:res_aprobacion</w:t>
      </w:r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C03DE" w14:textId="77777777" w:rsidR="00D01C35" w:rsidRDefault="00D01C35">
      <w:pPr>
        <w:spacing w:after="0" w:line="240" w:lineRule="auto"/>
      </w:pPr>
      <w:r>
        <w:separator/>
      </w:r>
    </w:p>
  </w:endnote>
  <w:endnote w:type="continuationSeparator" w:id="0">
    <w:p w14:paraId="082D1BAE" w14:textId="77777777" w:rsidR="00D01C35" w:rsidRDefault="00D01C35">
      <w:pPr>
        <w:spacing w:after="0" w:line="240" w:lineRule="auto"/>
      </w:pPr>
      <w:r>
        <w:continuationSeparator/>
      </w:r>
    </w:p>
  </w:endnote>
  <w:endnote w:type="continuationNotice" w:id="1">
    <w:p w14:paraId="1983F562" w14:textId="77777777" w:rsidR="00D01C35" w:rsidRDefault="00D01C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7DDA6" w14:textId="77777777" w:rsidR="00D01C35" w:rsidRDefault="00D01C35">
      <w:pPr>
        <w:spacing w:after="0" w:line="240" w:lineRule="auto"/>
      </w:pPr>
      <w:r>
        <w:separator/>
      </w:r>
    </w:p>
  </w:footnote>
  <w:footnote w:type="continuationSeparator" w:id="0">
    <w:p w14:paraId="451B17EC" w14:textId="77777777" w:rsidR="00D01C35" w:rsidRDefault="00D01C35">
      <w:pPr>
        <w:spacing w:after="0" w:line="240" w:lineRule="auto"/>
      </w:pPr>
      <w:r>
        <w:continuationSeparator/>
      </w:r>
    </w:p>
  </w:footnote>
  <w:footnote w:type="continuationNotice" w:id="1">
    <w:p w14:paraId="0C987F88" w14:textId="77777777" w:rsidR="00D01C35" w:rsidRDefault="00D01C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eastAsia="es-CO"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9256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5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66F003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115FA8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1B0095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B2C1C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FB76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EEB2325"/>
    <w:multiLevelType w:val="multilevel"/>
    <w:tmpl w:val="D3947F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16BB2"/>
    <w:multiLevelType w:val="hybridMultilevel"/>
    <w:tmpl w:val="D1AEAF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7ACD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F660AC9"/>
    <w:multiLevelType w:val="hybridMultilevel"/>
    <w:tmpl w:val="79400DE8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733DCA"/>
    <w:multiLevelType w:val="hybridMultilevel"/>
    <w:tmpl w:val="65DCFE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B3C43"/>
    <w:multiLevelType w:val="hybridMultilevel"/>
    <w:tmpl w:val="221283D4"/>
    <w:lvl w:ilvl="0" w:tplc="D7DA584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C053D"/>
    <w:multiLevelType w:val="hybridMultilevel"/>
    <w:tmpl w:val="613A5866"/>
    <w:lvl w:ilvl="0" w:tplc="24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5F17AF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2E67CC4"/>
    <w:multiLevelType w:val="hybridMultilevel"/>
    <w:tmpl w:val="86EA3774"/>
    <w:lvl w:ilvl="0" w:tplc="56405056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B344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7A9F7B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93E7394"/>
    <w:multiLevelType w:val="hybridMultilevel"/>
    <w:tmpl w:val="D74C0CD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1077C"/>
    <w:multiLevelType w:val="hybridMultilevel"/>
    <w:tmpl w:val="BB089C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B0D17"/>
    <w:multiLevelType w:val="hybridMultilevel"/>
    <w:tmpl w:val="C6264EBC"/>
    <w:lvl w:ilvl="0" w:tplc="D7DA5842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4B53259"/>
    <w:multiLevelType w:val="hybridMultilevel"/>
    <w:tmpl w:val="2DC4344E"/>
    <w:lvl w:ilvl="0" w:tplc="72DAAA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74722543">
    <w:abstractNumId w:val="17"/>
  </w:num>
  <w:num w:numId="2" w16cid:durableId="599338751">
    <w:abstractNumId w:val="19"/>
  </w:num>
  <w:num w:numId="3" w16cid:durableId="797377430">
    <w:abstractNumId w:val="10"/>
  </w:num>
  <w:num w:numId="4" w16cid:durableId="419955931">
    <w:abstractNumId w:val="18"/>
  </w:num>
  <w:num w:numId="5" w16cid:durableId="899948100">
    <w:abstractNumId w:val="13"/>
  </w:num>
  <w:num w:numId="6" w16cid:durableId="156578898">
    <w:abstractNumId w:val="3"/>
  </w:num>
  <w:num w:numId="7" w16cid:durableId="1860193847">
    <w:abstractNumId w:val="4"/>
  </w:num>
  <w:num w:numId="8" w16cid:durableId="1272515416">
    <w:abstractNumId w:val="15"/>
  </w:num>
  <w:num w:numId="9" w16cid:durableId="1689064912">
    <w:abstractNumId w:val="2"/>
  </w:num>
  <w:num w:numId="10" w16cid:durableId="48383468">
    <w:abstractNumId w:val="8"/>
  </w:num>
  <w:num w:numId="11" w16cid:durableId="1814249899">
    <w:abstractNumId w:val="1"/>
  </w:num>
  <w:num w:numId="12" w16cid:durableId="310209768">
    <w:abstractNumId w:val="12"/>
  </w:num>
  <w:num w:numId="13" w16cid:durableId="2040661986">
    <w:abstractNumId w:val="0"/>
  </w:num>
  <w:num w:numId="14" w16cid:durableId="80374446">
    <w:abstractNumId w:val="7"/>
  </w:num>
  <w:num w:numId="15" w16cid:durableId="356975499">
    <w:abstractNumId w:val="5"/>
  </w:num>
  <w:num w:numId="16" w16cid:durableId="1500655177">
    <w:abstractNumId w:val="14"/>
  </w:num>
  <w:num w:numId="17" w16cid:durableId="1872452748">
    <w:abstractNumId w:val="9"/>
  </w:num>
  <w:num w:numId="18" w16cid:durableId="432628110">
    <w:abstractNumId w:val="16"/>
  </w:num>
  <w:num w:numId="19" w16cid:durableId="705641730">
    <w:abstractNumId w:val="11"/>
  </w:num>
  <w:num w:numId="20" w16cid:durableId="1646936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5DDC"/>
    <w:rsid w:val="00027169"/>
    <w:rsid w:val="00027A4E"/>
    <w:rsid w:val="00033CD6"/>
    <w:rsid w:val="000416A4"/>
    <w:rsid w:val="000418C8"/>
    <w:rsid w:val="000438B0"/>
    <w:rsid w:val="00046F1D"/>
    <w:rsid w:val="00053E20"/>
    <w:rsid w:val="00063E4F"/>
    <w:rsid w:val="00066E53"/>
    <w:rsid w:val="000769FD"/>
    <w:rsid w:val="00081CDA"/>
    <w:rsid w:val="000852B4"/>
    <w:rsid w:val="00086BA7"/>
    <w:rsid w:val="000A001D"/>
    <w:rsid w:val="000A5336"/>
    <w:rsid w:val="000B6115"/>
    <w:rsid w:val="000C0DF9"/>
    <w:rsid w:val="000F4AC1"/>
    <w:rsid w:val="00105A5D"/>
    <w:rsid w:val="0011064B"/>
    <w:rsid w:val="00123D14"/>
    <w:rsid w:val="0016001B"/>
    <w:rsid w:val="00172698"/>
    <w:rsid w:val="001818F1"/>
    <w:rsid w:val="0018298B"/>
    <w:rsid w:val="001866F6"/>
    <w:rsid w:val="001A184D"/>
    <w:rsid w:val="001A6E50"/>
    <w:rsid w:val="001C1B51"/>
    <w:rsid w:val="0020427C"/>
    <w:rsid w:val="0024216F"/>
    <w:rsid w:val="002478C2"/>
    <w:rsid w:val="00250630"/>
    <w:rsid w:val="002527B2"/>
    <w:rsid w:val="0025354B"/>
    <w:rsid w:val="00257144"/>
    <w:rsid w:val="00262ACE"/>
    <w:rsid w:val="00274A21"/>
    <w:rsid w:val="0028552C"/>
    <w:rsid w:val="002909D4"/>
    <w:rsid w:val="002967A4"/>
    <w:rsid w:val="002A6DB2"/>
    <w:rsid w:val="002B387F"/>
    <w:rsid w:val="002C36A4"/>
    <w:rsid w:val="002C6521"/>
    <w:rsid w:val="002E410D"/>
    <w:rsid w:val="002E5F50"/>
    <w:rsid w:val="002E7F20"/>
    <w:rsid w:val="003057E7"/>
    <w:rsid w:val="003121A9"/>
    <w:rsid w:val="0031525D"/>
    <w:rsid w:val="003174F8"/>
    <w:rsid w:val="00332A64"/>
    <w:rsid w:val="003452B6"/>
    <w:rsid w:val="003525C5"/>
    <w:rsid w:val="00354A96"/>
    <w:rsid w:val="00364952"/>
    <w:rsid w:val="0036659A"/>
    <w:rsid w:val="0039410C"/>
    <w:rsid w:val="003B1ABF"/>
    <w:rsid w:val="003B2B73"/>
    <w:rsid w:val="003C0EB7"/>
    <w:rsid w:val="003C114A"/>
    <w:rsid w:val="003D1793"/>
    <w:rsid w:val="003E34EE"/>
    <w:rsid w:val="00413EDA"/>
    <w:rsid w:val="00414657"/>
    <w:rsid w:val="00441A30"/>
    <w:rsid w:val="00461449"/>
    <w:rsid w:val="00484A5A"/>
    <w:rsid w:val="00486B3A"/>
    <w:rsid w:val="00496E70"/>
    <w:rsid w:val="004B4480"/>
    <w:rsid w:val="004D1041"/>
    <w:rsid w:val="004F3FC7"/>
    <w:rsid w:val="004F6BF2"/>
    <w:rsid w:val="00513017"/>
    <w:rsid w:val="005154CA"/>
    <w:rsid w:val="005225C6"/>
    <w:rsid w:val="00530727"/>
    <w:rsid w:val="00532ADB"/>
    <w:rsid w:val="00542152"/>
    <w:rsid w:val="00542CC3"/>
    <w:rsid w:val="00555740"/>
    <w:rsid w:val="005617AA"/>
    <w:rsid w:val="005646C4"/>
    <w:rsid w:val="00581044"/>
    <w:rsid w:val="00583FE8"/>
    <w:rsid w:val="0059722B"/>
    <w:rsid w:val="005B5F8F"/>
    <w:rsid w:val="005C5E46"/>
    <w:rsid w:val="005C6F4F"/>
    <w:rsid w:val="005E4CBE"/>
    <w:rsid w:val="00600990"/>
    <w:rsid w:val="0061631A"/>
    <w:rsid w:val="006266C9"/>
    <w:rsid w:val="00640E5A"/>
    <w:rsid w:val="006453FE"/>
    <w:rsid w:val="0065266C"/>
    <w:rsid w:val="00656BD2"/>
    <w:rsid w:val="00657578"/>
    <w:rsid w:val="0065774C"/>
    <w:rsid w:val="006650DE"/>
    <w:rsid w:val="00665A1D"/>
    <w:rsid w:val="0068275E"/>
    <w:rsid w:val="006831A9"/>
    <w:rsid w:val="006937B7"/>
    <w:rsid w:val="006E2899"/>
    <w:rsid w:val="006E35F3"/>
    <w:rsid w:val="006F4642"/>
    <w:rsid w:val="006F76E7"/>
    <w:rsid w:val="00731A6A"/>
    <w:rsid w:val="00753773"/>
    <w:rsid w:val="00754FB6"/>
    <w:rsid w:val="00772E35"/>
    <w:rsid w:val="00792B47"/>
    <w:rsid w:val="00794357"/>
    <w:rsid w:val="00796A91"/>
    <w:rsid w:val="007A5A72"/>
    <w:rsid w:val="007B0085"/>
    <w:rsid w:val="007C2C5F"/>
    <w:rsid w:val="007C54DC"/>
    <w:rsid w:val="007E78E5"/>
    <w:rsid w:val="007E7B4A"/>
    <w:rsid w:val="007F47F3"/>
    <w:rsid w:val="00805618"/>
    <w:rsid w:val="00814F10"/>
    <w:rsid w:val="00816662"/>
    <w:rsid w:val="00822F59"/>
    <w:rsid w:val="00830730"/>
    <w:rsid w:val="00841938"/>
    <w:rsid w:val="00846B15"/>
    <w:rsid w:val="00860F6D"/>
    <w:rsid w:val="00892C0E"/>
    <w:rsid w:val="008A2C8C"/>
    <w:rsid w:val="008A7803"/>
    <w:rsid w:val="008D0945"/>
    <w:rsid w:val="008E4ABF"/>
    <w:rsid w:val="008F7F9B"/>
    <w:rsid w:val="009216F6"/>
    <w:rsid w:val="00925637"/>
    <w:rsid w:val="009359F1"/>
    <w:rsid w:val="00953E69"/>
    <w:rsid w:val="00957F7A"/>
    <w:rsid w:val="00966897"/>
    <w:rsid w:val="00972A17"/>
    <w:rsid w:val="00981241"/>
    <w:rsid w:val="009842EC"/>
    <w:rsid w:val="009A04C9"/>
    <w:rsid w:val="009A6B29"/>
    <w:rsid w:val="009B096B"/>
    <w:rsid w:val="009B1490"/>
    <w:rsid w:val="009C0F17"/>
    <w:rsid w:val="009E5228"/>
    <w:rsid w:val="009E7A56"/>
    <w:rsid w:val="009F6660"/>
    <w:rsid w:val="009F6F11"/>
    <w:rsid w:val="00A02062"/>
    <w:rsid w:val="00A15C2A"/>
    <w:rsid w:val="00A162AF"/>
    <w:rsid w:val="00A17270"/>
    <w:rsid w:val="00A3590E"/>
    <w:rsid w:val="00A3672F"/>
    <w:rsid w:val="00A3791C"/>
    <w:rsid w:val="00A56897"/>
    <w:rsid w:val="00A56D3B"/>
    <w:rsid w:val="00A76FEB"/>
    <w:rsid w:val="00A80588"/>
    <w:rsid w:val="00A833EF"/>
    <w:rsid w:val="00A86526"/>
    <w:rsid w:val="00AA1425"/>
    <w:rsid w:val="00AA597B"/>
    <w:rsid w:val="00AB5C40"/>
    <w:rsid w:val="00AC6860"/>
    <w:rsid w:val="00AC6EDD"/>
    <w:rsid w:val="00AD1822"/>
    <w:rsid w:val="00AD292D"/>
    <w:rsid w:val="00AD43C1"/>
    <w:rsid w:val="00AE2102"/>
    <w:rsid w:val="00AE62C8"/>
    <w:rsid w:val="00AE789B"/>
    <w:rsid w:val="00AF250E"/>
    <w:rsid w:val="00AF55B8"/>
    <w:rsid w:val="00B05956"/>
    <w:rsid w:val="00B33AF6"/>
    <w:rsid w:val="00B34C99"/>
    <w:rsid w:val="00B4250F"/>
    <w:rsid w:val="00B46BD9"/>
    <w:rsid w:val="00B50BE5"/>
    <w:rsid w:val="00B51607"/>
    <w:rsid w:val="00B57B78"/>
    <w:rsid w:val="00B92B44"/>
    <w:rsid w:val="00BA3B03"/>
    <w:rsid w:val="00BA7153"/>
    <w:rsid w:val="00BB2E70"/>
    <w:rsid w:val="00BD14FC"/>
    <w:rsid w:val="00BD4D30"/>
    <w:rsid w:val="00BD6A20"/>
    <w:rsid w:val="00BF10F4"/>
    <w:rsid w:val="00C03F1D"/>
    <w:rsid w:val="00C0455B"/>
    <w:rsid w:val="00C1417E"/>
    <w:rsid w:val="00C15DA3"/>
    <w:rsid w:val="00C17928"/>
    <w:rsid w:val="00C20B37"/>
    <w:rsid w:val="00C4477F"/>
    <w:rsid w:val="00C54135"/>
    <w:rsid w:val="00C73D12"/>
    <w:rsid w:val="00C83642"/>
    <w:rsid w:val="00C977EC"/>
    <w:rsid w:val="00CA2EC1"/>
    <w:rsid w:val="00CA77AB"/>
    <w:rsid w:val="00CB1787"/>
    <w:rsid w:val="00CC036D"/>
    <w:rsid w:val="00CD79CE"/>
    <w:rsid w:val="00CF58F3"/>
    <w:rsid w:val="00CF62AA"/>
    <w:rsid w:val="00D00CBE"/>
    <w:rsid w:val="00D01C35"/>
    <w:rsid w:val="00D12470"/>
    <w:rsid w:val="00D27398"/>
    <w:rsid w:val="00D45274"/>
    <w:rsid w:val="00D47442"/>
    <w:rsid w:val="00D56794"/>
    <w:rsid w:val="00D93C64"/>
    <w:rsid w:val="00D962D7"/>
    <w:rsid w:val="00DA16B2"/>
    <w:rsid w:val="00DB6468"/>
    <w:rsid w:val="00DB7DB3"/>
    <w:rsid w:val="00DC0B9D"/>
    <w:rsid w:val="00DC0EB5"/>
    <w:rsid w:val="00DC7B37"/>
    <w:rsid w:val="00DD1D7E"/>
    <w:rsid w:val="00DE1913"/>
    <w:rsid w:val="00DF1F47"/>
    <w:rsid w:val="00E00C84"/>
    <w:rsid w:val="00E113E2"/>
    <w:rsid w:val="00E177D1"/>
    <w:rsid w:val="00E23BE8"/>
    <w:rsid w:val="00E33EE9"/>
    <w:rsid w:val="00E366F7"/>
    <w:rsid w:val="00E37AC0"/>
    <w:rsid w:val="00E463C9"/>
    <w:rsid w:val="00E5765D"/>
    <w:rsid w:val="00E65AFE"/>
    <w:rsid w:val="00E70BD5"/>
    <w:rsid w:val="00E76823"/>
    <w:rsid w:val="00E823F2"/>
    <w:rsid w:val="00E93B78"/>
    <w:rsid w:val="00E9411B"/>
    <w:rsid w:val="00EA628C"/>
    <w:rsid w:val="00EB23C4"/>
    <w:rsid w:val="00EB3862"/>
    <w:rsid w:val="00EB4A9B"/>
    <w:rsid w:val="00F413C6"/>
    <w:rsid w:val="00F4647E"/>
    <w:rsid w:val="00F540EE"/>
    <w:rsid w:val="00F752FC"/>
    <w:rsid w:val="00F80A1F"/>
    <w:rsid w:val="00F81BBD"/>
    <w:rsid w:val="00F875E0"/>
    <w:rsid w:val="00F94C11"/>
    <w:rsid w:val="00FA439A"/>
    <w:rsid w:val="00FA7442"/>
    <w:rsid w:val="00FB3098"/>
    <w:rsid w:val="00FD392C"/>
    <w:rsid w:val="00FD63F7"/>
    <w:rsid w:val="00FF3789"/>
    <w:rsid w:val="044B884D"/>
    <w:rsid w:val="07555066"/>
    <w:rsid w:val="0EB5F5D5"/>
    <w:rsid w:val="0F1582AC"/>
    <w:rsid w:val="108B2343"/>
    <w:rsid w:val="16F71F09"/>
    <w:rsid w:val="1A9D44E2"/>
    <w:rsid w:val="277A6E55"/>
    <w:rsid w:val="2D5444EC"/>
    <w:rsid w:val="344E04F2"/>
    <w:rsid w:val="3F5AA87E"/>
    <w:rsid w:val="42C0EE20"/>
    <w:rsid w:val="48DFE64D"/>
    <w:rsid w:val="4A7F1A38"/>
    <w:rsid w:val="4AB0F42C"/>
    <w:rsid w:val="55FB2B0C"/>
    <w:rsid w:val="5D0B3A75"/>
    <w:rsid w:val="62CA8A7B"/>
    <w:rsid w:val="6A38312A"/>
    <w:rsid w:val="7BC7D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F1BEBAE9-766F-4355-B363-FDF9CCA36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xmsonormal">
    <w:name w:val="x_msonormal"/>
    <w:basedOn w:val="Normal"/>
    <w:rsid w:val="00033CD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BA3B03"/>
    <w:rPr>
      <w:rFonts w:ascii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1C1B5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C1B51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A833EF"/>
    <w:pPr>
      <w:suppressAutoHyphens w:val="0"/>
    </w:pPr>
  </w:style>
  <w:style w:type="table" w:styleId="Tablaconcuadrcula">
    <w:name w:val="Table Grid"/>
    <w:basedOn w:val="Tablanormal"/>
    <w:uiPriority w:val="39"/>
    <w:rsid w:val="00652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B7D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B7DB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B7DB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7DB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7DB3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FF3789"/>
    <w:pPr>
      <w:ind w:left="720"/>
      <w:contextualSpacing/>
    </w:pPr>
  </w:style>
  <w:style w:type="paragraph" w:customStyle="1" w:styleId="Default">
    <w:name w:val="Default"/>
    <w:rsid w:val="00CA77AB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6001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6001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6001B"/>
    <w:rPr>
      <w:vertAlign w:val="superscript"/>
    </w:rPr>
  </w:style>
  <w:style w:type="character" w:customStyle="1" w:styleId="normaltextrun">
    <w:name w:val="normaltextrun"/>
    <w:basedOn w:val="Fuentedeprrafopredeter"/>
    <w:rsid w:val="007B0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984</Words>
  <Characters>5412</Characters>
  <Application>Microsoft Office Word</Application>
  <DocSecurity>0</DocSecurity>
  <Lines>45</Lines>
  <Paragraphs>12</Paragraphs>
  <ScaleCrop>false</ScaleCrop>
  <Company>HP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OSCAR JAVIER MORA CANO</cp:lastModifiedBy>
  <cp:revision>3</cp:revision>
  <dcterms:created xsi:type="dcterms:W3CDTF">2026-06-12T13:24:00Z</dcterms:created>
  <dcterms:modified xsi:type="dcterms:W3CDTF">2026-06-12T13:25:00Z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